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8" w:type="dxa"/>
        <w:tblInd w:w="70" w:type="dxa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4523"/>
        <w:gridCol w:w="1560"/>
        <w:gridCol w:w="3685"/>
      </w:tblGrid>
      <w:tr w:rsidR="00712CB2" w:rsidRPr="00712CB2" w:rsidTr="00E2172F">
        <w:tc>
          <w:tcPr>
            <w:tcW w:w="6083" w:type="dxa"/>
            <w:gridSpan w:val="2"/>
          </w:tcPr>
          <w:p w:rsidR="00712CB2" w:rsidRPr="00D13620" w:rsidRDefault="00712CB2" w:rsidP="00993743">
            <w:pPr>
              <w:rPr>
                <w:rFonts w:ascii="Eurostile" w:hAnsi="Eurostile"/>
                <w:sz w:val="28"/>
                <w:szCs w:val="28"/>
              </w:rPr>
            </w:pPr>
            <w:r w:rsidRPr="00D13620">
              <w:rPr>
                <w:rFonts w:ascii="Eurostile" w:hAnsi="Eurostile"/>
                <w:sz w:val="28"/>
                <w:szCs w:val="28"/>
              </w:rPr>
              <w:t xml:space="preserve">Gemeinde Drachselsried </w:t>
            </w:r>
          </w:p>
        </w:tc>
        <w:tc>
          <w:tcPr>
            <w:tcW w:w="3685" w:type="dxa"/>
            <w:vMerge w:val="restart"/>
          </w:tcPr>
          <w:p w:rsidR="00712CB2" w:rsidRPr="00712CB2" w:rsidRDefault="009375BB" w:rsidP="00712CB2">
            <w:pPr>
              <w:jc w:val="center"/>
              <w:rPr>
                <w:rFonts w:ascii="Eurostile" w:hAnsi="Eurostile"/>
              </w:rPr>
            </w:pPr>
            <w:r>
              <w:rPr>
                <w:rFonts w:ascii="Eurostile" w:hAnsi="Eurostile"/>
                <w:noProof/>
              </w:rPr>
              <w:drawing>
                <wp:inline distT="0" distB="0" distL="0" distR="0">
                  <wp:extent cx="1043011" cy="1040005"/>
                  <wp:effectExtent l="0" t="0" r="508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ppen_Drachselsri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060" cy="104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CB2" w:rsidRPr="00712CB2" w:rsidTr="00E2172F">
        <w:trPr>
          <w:trHeight w:val="379"/>
        </w:trPr>
        <w:tc>
          <w:tcPr>
            <w:tcW w:w="6083" w:type="dxa"/>
            <w:gridSpan w:val="2"/>
            <w:vAlign w:val="bottom"/>
          </w:tcPr>
          <w:p w:rsidR="00712CB2" w:rsidRPr="00712CB2" w:rsidRDefault="00712CB2" w:rsidP="00D13620">
            <w:pPr>
              <w:rPr>
                <w:rFonts w:ascii="Eurostile" w:hAnsi="Eurostile"/>
              </w:rPr>
            </w:pPr>
            <w:r w:rsidRPr="00712CB2">
              <w:rPr>
                <w:rFonts w:ascii="Eurostile" w:hAnsi="Eurostile"/>
              </w:rPr>
              <w:t>Zellertalstraße 1</w:t>
            </w:r>
            <w:r w:rsidR="00D13620">
              <w:rPr>
                <w:rFonts w:ascii="Eurostile" w:hAnsi="Eurostile"/>
              </w:rPr>
              <w:t>2</w:t>
            </w:r>
            <w:r w:rsidRPr="00712CB2">
              <w:rPr>
                <w:rFonts w:ascii="Eurostile" w:hAnsi="Eurostile"/>
              </w:rPr>
              <w:t xml:space="preserve"> </w:t>
            </w:r>
          </w:p>
        </w:tc>
        <w:tc>
          <w:tcPr>
            <w:tcW w:w="3685" w:type="dxa"/>
            <w:vMerge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  <w:tr w:rsidR="00712CB2" w:rsidRPr="00712CB2" w:rsidTr="00BA0F09">
        <w:trPr>
          <w:trHeight w:val="1018"/>
        </w:trPr>
        <w:tc>
          <w:tcPr>
            <w:tcW w:w="6083" w:type="dxa"/>
            <w:gridSpan w:val="2"/>
          </w:tcPr>
          <w:p w:rsidR="00712CB2" w:rsidRPr="00712CB2" w:rsidRDefault="00712CB2" w:rsidP="00712CB2">
            <w:pPr>
              <w:rPr>
                <w:rFonts w:ascii="Eurostile" w:hAnsi="Eurostile"/>
              </w:rPr>
            </w:pPr>
            <w:r w:rsidRPr="00712CB2">
              <w:rPr>
                <w:rFonts w:ascii="Eurostile" w:hAnsi="Eurostile"/>
              </w:rPr>
              <w:t xml:space="preserve">94256 Drachselsried </w:t>
            </w:r>
          </w:p>
        </w:tc>
        <w:tc>
          <w:tcPr>
            <w:tcW w:w="3685" w:type="dxa"/>
            <w:vMerge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  <w:tr w:rsidR="00712CB2" w:rsidRPr="00712CB2" w:rsidTr="00BA0F09">
        <w:tc>
          <w:tcPr>
            <w:tcW w:w="4523" w:type="dxa"/>
            <w:vAlign w:val="bottom"/>
          </w:tcPr>
          <w:p w:rsidR="00712CB2" w:rsidRPr="00BA0F09" w:rsidRDefault="00712CB2" w:rsidP="00D13620">
            <w:pPr>
              <w:rPr>
                <w:rFonts w:ascii="Eurostile" w:hAnsi="Eurostile"/>
                <w:sz w:val="14"/>
                <w:szCs w:val="14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712CB2" w:rsidRPr="00712CB2" w:rsidRDefault="00712CB2" w:rsidP="00712CB2">
            <w:pPr>
              <w:rPr>
                <w:rFonts w:ascii="Eurostile" w:hAnsi="Eurostile"/>
                <w:sz w:val="14"/>
                <w:szCs w:val="14"/>
              </w:rPr>
            </w:pPr>
          </w:p>
        </w:tc>
        <w:tc>
          <w:tcPr>
            <w:tcW w:w="3685" w:type="dxa"/>
          </w:tcPr>
          <w:p w:rsidR="00712CB2" w:rsidRPr="00712CB2" w:rsidRDefault="00902DBC" w:rsidP="009375BB">
            <w:pPr>
              <w:jc w:val="center"/>
              <w:rPr>
                <w:rFonts w:ascii="Eurostile" w:hAnsi="Eurostile"/>
              </w:rPr>
            </w:pPr>
            <w:hyperlink r:id="rId9" w:history="1">
              <w:r w:rsidR="009375BB" w:rsidRPr="006F7864">
                <w:rPr>
                  <w:rStyle w:val="Hyperlink"/>
                  <w:rFonts w:ascii="Eurostile" w:hAnsi="Eurostile"/>
                </w:rPr>
                <w:t>www.drachselsried.de</w:t>
              </w:r>
            </w:hyperlink>
          </w:p>
        </w:tc>
      </w:tr>
      <w:tr w:rsidR="00712CB2" w:rsidRPr="00712CB2" w:rsidTr="00BA0F09">
        <w:tc>
          <w:tcPr>
            <w:tcW w:w="4523" w:type="dxa"/>
          </w:tcPr>
          <w:p w:rsidR="00712CB2" w:rsidRPr="009375BB" w:rsidRDefault="00712CB2" w:rsidP="00993743">
            <w:pPr>
              <w:rPr>
                <w:rFonts w:ascii="Eurostile" w:hAnsi="Eurostile"/>
                <w:sz w:val="22"/>
                <w:szCs w:val="22"/>
              </w:rPr>
            </w:pPr>
          </w:p>
        </w:tc>
        <w:tc>
          <w:tcPr>
            <w:tcW w:w="1560" w:type="dxa"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  <w:tc>
          <w:tcPr>
            <w:tcW w:w="3685" w:type="dxa"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</w:tbl>
    <w:p w:rsidR="005D0EB4" w:rsidRDefault="005D0EB4" w:rsidP="005D0EB4">
      <w:pPr>
        <w:rPr>
          <w:b/>
          <w:sz w:val="26"/>
          <w:szCs w:val="26"/>
        </w:rPr>
      </w:pPr>
    </w:p>
    <w:p w:rsidR="00BA0F09" w:rsidRPr="00BA0F09" w:rsidRDefault="00BA0F09" w:rsidP="00BA0F09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  <w:sz w:val="32"/>
          <w:szCs w:val="24"/>
          <w:u w:val="single"/>
          <w:lang w:val="it-IT"/>
        </w:rPr>
      </w:pPr>
      <w:r w:rsidRPr="00BA0F09">
        <w:rPr>
          <w:rFonts w:ascii="Arial" w:hAnsi="Arial" w:cs="Arial"/>
          <w:b/>
          <w:bCs/>
          <w:sz w:val="32"/>
          <w:szCs w:val="24"/>
          <w:u w:val="single"/>
          <w:lang w:val="it-IT"/>
        </w:rPr>
        <w:t xml:space="preserve">B E K A N </w:t>
      </w:r>
      <w:proofErr w:type="spellStart"/>
      <w:r w:rsidRPr="00BA0F09">
        <w:rPr>
          <w:rFonts w:ascii="Arial" w:hAnsi="Arial" w:cs="Arial"/>
          <w:b/>
          <w:bCs/>
          <w:sz w:val="32"/>
          <w:szCs w:val="24"/>
          <w:u w:val="single"/>
          <w:lang w:val="it-IT"/>
        </w:rPr>
        <w:t>N</w:t>
      </w:r>
      <w:proofErr w:type="spellEnd"/>
      <w:r w:rsidRPr="00BA0F09">
        <w:rPr>
          <w:rFonts w:ascii="Arial" w:hAnsi="Arial" w:cs="Arial"/>
          <w:b/>
          <w:bCs/>
          <w:sz w:val="32"/>
          <w:szCs w:val="24"/>
          <w:u w:val="single"/>
          <w:lang w:val="it-IT"/>
        </w:rPr>
        <w:t xml:space="preserve"> T M A C H U N G</w:t>
      </w:r>
    </w:p>
    <w:p w:rsidR="00BA0F09" w:rsidRPr="00BA0F09" w:rsidRDefault="00BA0F09" w:rsidP="00BA0F0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4"/>
          <w:lang w:val="it-IT"/>
        </w:rPr>
      </w:pPr>
    </w:p>
    <w:p w:rsidR="00BA0F09" w:rsidRPr="00BA0F09" w:rsidRDefault="00BA0F09" w:rsidP="00F2589D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2"/>
          <w:szCs w:val="24"/>
        </w:rPr>
      </w:pPr>
      <w:r w:rsidRPr="00BA0F09">
        <w:rPr>
          <w:rFonts w:ascii="Arial" w:hAnsi="Arial" w:cs="Arial"/>
          <w:b/>
          <w:bCs/>
          <w:sz w:val="22"/>
          <w:szCs w:val="24"/>
        </w:rPr>
        <w:t>Öffentliche Auslegung der Änderung des Flächennutzungsplanes</w:t>
      </w:r>
      <w:r w:rsidR="00F2589D">
        <w:rPr>
          <w:rFonts w:ascii="Arial" w:hAnsi="Arial" w:cs="Arial"/>
          <w:b/>
          <w:bCs/>
          <w:sz w:val="22"/>
          <w:szCs w:val="24"/>
        </w:rPr>
        <w:t xml:space="preserve"> mit integriertem Umweltbericht</w:t>
      </w:r>
      <w:r w:rsidRPr="00BA0F09">
        <w:rPr>
          <w:rFonts w:ascii="Arial" w:hAnsi="Arial" w:cs="Arial"/>
          <w:b/>
          <w:bCs/>
          <w:sz w:val="22"/>
          <w:szCs w:val="24"/>
        </w:rPr>
        <w:t xml:space="preserve"> der Gemeinde </w:t>
      </w:r>
      <w:r>
        <w:rPr>
          <w:rFonts w:ascii="Arial" w:hAnsi="Arial" w:cs="Arial"/>
          <w:b/>
          <w:bCs/>
          <w:sz w:val="22"/>
          <w:szCs w:val="24"/>
        </w:rPr>
        <w:t>Drachselsried</w:t>
      </w:r>
      <w:r w:rsidRPr="00BA0F09">
        <w:rPr>
          <w:rFonts w:ascii="Arial" w:hAnsi="Arial" w:cs="Arial"/>
          <w:b/>
          <w:bCs/>
          <w:sz w:val="22"/>
          <w:szCs w:val="24"/>
        </w:rPr>
        <w:t xml:space="preserve"> mit Deckblatt Nr. </w:t>
      </w:r>
      <w:r w:rsidR="000B1117">
        <w:rPr>
          <w:rFonts w:ascii="Arial" w:hAnsi="Arial" w:cs="Arial"/>
          <w:b/>
          <w:bCs/>
          <w:sz w:val="22"/>
          <w:szCs w:val="24"/>
        </w:rPr>
        <w:t>29 (3</w:t>
      </w:r>
      <w:r>
        <w:rPr>
          <w:rFonts w:ascii="Arial" w:hAnsi="Arial" w:cs="Arial"/>
          <w:b/>
          <w:bCs/>
          <w:sz w:val="22"/>
          <w:szCs w:val="24"/>
        </w:rPr>
        <w:t>. Auslegung)</w:t>
      </w:r>
      <w:r w:rsidRPr="00BA0F09">
        <w:rPr>
          <w:rFonts w:ascii="Arial" w:hAnsi="Arial" w:cs="Arial"/>
          <w:b/>
          <w:bCs/>
          <w:sz w:val="22"/>
          <w:szCs w:val="24"/>
        </w:rPr>
        <w:t xml:space="preserve"> </w:t>
      </w:r>
    </w:p>
    <w:p w:rsidR="00BA0F09" w:rsidRPr="00BA0F09" w:rsidRDefault="00BA0F09" w:rsidP="00BA0F09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2"/>
          <w:szCs w:val="24"/>
        </w:rPr>
      </w:pPr>
      <w:r w:rsidRPr="00BA0F09">
        <w:rPr>
          <w:rFonts w:ascii="Arial" w:hAnsi="Arial" w:cs="Arial"/>
          <w:b/>
          <w:bCs/>
          <w:sz w:val="22"/>
          <w:szCs w:val="24"/>
        </w:rPr>
        <w:t xml:space="preserve">hinsichtlich </w:t>
      </w:r>
      <w:r w:rsidR="00237C03">
        <w:rPr>
          <w:rFonts w:ascii="Arial" w:hAnsi="Arial" w:cs="Arial"/>
          <w:b/>
          <w:bCs/>
          <w:sz w:val="22"/>
          <w:szCs w:val="24"/>
        </w:rPr>
        <w:t xml:space="preserve">Schaffung </w:t>
      </w:r>
      <w:proofErr w:type="gramStart"/>
      <w:r w:rsidR="00237C03">
        <w:rPr>
          <w:rFonts w:ascii="Arial" w:hAnsi="Arial" w:cs="Arial"/>
          <w:b/>
          <w:bCs/>
          <w:sz w:val="22"/>
          <w:szCs w:val="24"/>
        </w:rPr>
        <w:t>von  Wohnbauland</w:t>
      </w:r>
      <w:proofErr w:type="gramEnd"/>
      <w:r w:rsidR="00237C03">
        <w:rPr>
          <w:rFonts w:ascii="Arial" w:hAnsi="Arial" w:cs="Arial"/>
          <w:b/>
          <w:bCs/>
          <w:sz w:val="22"/>
          <w:szCs w:val="24"/>
        </w:rPr>
        <w:t xml:space="preserve"> und Standort Feuerwehr Drachselsried </w:t>
      </w:r>
    </w:p>
    <w:p w:rsidR="00BA0F09" w:rsidRPr="00BA0F09" w:rsidRDefault="00BA0F09" w:rsidP="00BA0F0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</w:p>
    <w:p w:rsid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 xml:space="preserve">Der Gemeinderat </w:t>
      </w:r>
      <w:r>
        <w:rPr>
          <w:rFonts w:ascii="Arial" w:hAnsi="Arial" w:cs="Arial"/>
          <w:sz w:val="22"/>
          <w:szCs w:val="24"/>
        </w:rPr>
        <w:t>Drachselsried</w:t>
      </w:r>
      <w:r w:rsidRPr="00BA0F09">
        <w:rPr>
          <w:rFonts w:ascii="Arial" w:hAnsi="Arial" w:cs="Arial"/>
          <w:sz w:val="22"/>
          <w:szCs w:val="24"/>
        </w:rPr>
        <w:t xml:space="preserve"> hat in der Sitzung am </w:t>
      </w:r>
      <w:r w:rsidR="00237C03">
        <w:rPr>
          <w:rFonts w:ascii="Arial" w:hAnsi="Arial" w:cs="Arial"/>
          <w:sz w:val="22"/>
          <w:szCs w:val="24"/>
        </w:rPr>
        <w:t>10.08.2020</w:t>
      </w:r>
      <w:r w:rsidRPr="00BA0F09">
        <w:rPr>
          <w:rFonts w:ascii="Arial" w:hAnsi="Arial" w:cs="Arial"/>
          <w:sz w:val="22"/>
          <w:szCs w:val="24"/>
        </w:rPr>
        <w:t xml:space="preserve"> </w:t>
      </w:r>
      <w:r w:rsidR="007527C8">
        <w:rPr>
          <w:rFonts w:ascii="Arial" w:hAnsi="Arial" w:cs="Arial"/>
          <w:sz w:val="22"/>
          <w:szCs w:val="24"/>
        </w:rPr>
        <w:t xml:space="preserve">gebilligt und </w:t>
      </w:r>
      <w:r>
        <w:rPr>
          <w:rFonts w:ascii="Arial" w:hAnsi="Arial" w:cs="Arial"/>
          <w:sz w:val="22"/>
          <w:szCs w:val="24"/>
        </w:rPr>
        <w:t xml:space="preserve">beschlossen, </w:t>
      </w:r>
      <w:r w:rsidRPr="00BA0F09">
        <w:rPr>
          <w:rFonts w:ascii="Arial" w:hAnsi="Arial" w:cs="Arial"/>
          <w:sz w:val="22"/>
          <w:szCs w:val="24"/>
        </w:rPr>
        <w:t xml:space="preserve">den Flächennutzungsplan der Gemeinde </w:t>
      </w:r>
      <w:r>
        <w:rPr>
          <w:rFonts w:ascii="Arial" w:hAnsi="Arial" w:cs="Arial"/>
          <w:sz w:val="22"/>
          <w:szCs w:val="24"/>
        </w:rPr>
        <w:t>Drachselsried</w:t>
      </w:r>
      <w:r w:rsidRPr="00BA0F09">
        <w:rPr>
          <w:rFonts w:ascii="Arial" w:hAnsi="Arial" w:cs="Arial"/>
          <w:sz w:val="22"/>
          <w:szCs w:val="24"/>
        </w:rPr>
        <w:t xml:space="preserve"> mit Deckblatt Nr. </w:t>
      </w:r>
      <w:r w:rsidR="00237C03">
        <w:rPr>
          <w:rFonts w:ascii="Arial" w:hAnsi="Arial" w:cs="Arial"/>
          <w:sz w:val="22"/>
          <w:szCs w:val="24"/>
        </w:rPr>
        <w:t>29</w:t>
      </w:r>
      <w:r w:rsidRPr="00BA0F09">
        <w:rPr>
          <w:rFonts w:ascii="Arial" w:hAnsi="Arial" w:cs="Arial"/>
          <w:sz w:val="22"/>
          <w:szCs w:val="24"/>
        </w:rPr>
        <w:t xml:space="preserve"> zu ändern. Die frühzeitige Beteiligung fand in der Zeit vom </w:t>
      </w:r>
      <w:r w:rsidR="00237C03">
        <w:rPr>
          <w:rFonts w:ascii="Arial" w:hAnsi="Arial" w:cs="Arial"/>
          <w:sz w:val="22"/>
          <w:szCs w:val="24"/>
        </w:rPr>
        <w:t>07.09.2020 bis 09.10.2020</w:t>
      </w:r>
      <w:r>
        <w:rPr>
          <w:rFonts w:ascii="Arial" w:hAnsi="Arial" w:cs="Arial"/>
          <w:sz w:val="22"/>
          <w:szCs w:val="24"/>
        </w:rPr>
        <w:t xml:space="preserve"> </w:t>
      </w:r>
      <w:r w:rsidRPr="00BA0F09">
        <w:rPr>
          <w:rFonts w:ascii="Arial" w:hAnsi="Arial" w:cs="Arial"/>
          <w:sz w:val="22"/>
          <w:szCs w:val="24"/>
        </w:rPr>
        <w:t>statt.</w:t>
      </w:r>
      <w:r>
        <w:rPr>
          <w:rFonts w:ascii="Arial" w:hAnsi="Arial" w:cs="Arial"/>
          <w:sz w:val="22"/>
          <w:szCs w:val="24"/>
        </w:rPr>
        <w:t xml:space="preserve"> </w:t>
      </w:r>
      <w:r w:rsidR="000B1117">
        <w:rPr>
          <w:rFonts w:ascii="Arial" w:hAnsi="Arial" w:cs="Arial"/>
          <w:sz w:val="22"/>
          <w:szCs w:val="24"/>
        </w:rPr>
        <w:t xml:space="preserve">Die Behandlung der </w:t>
      </w:r>
      <w:proofErr w:type="spellStart"/>
      <w:proofErr w:type="gramStart"/>
      <w:r w:rsidR="000B1117">
        <w:rPr>
          <w:rFonts w:ascii="Arial" w:hAnsi="Arial" w:cs="Arial"/>
          <w:sz w:val="22"/>
          <w:szCs w:val="24"/>
        </w:rPr>
        <w:t>eingegang-enen</w:t>
      </w:r>
      <w:proofErr w:type="spellEnd"/>
      <w:proofErr w:type="gramEnd"/>
      <w:r w:rsidR="000B1117">
        <w:rPr>
          <w:rFonts w:ascii="Arial" w:hAnsi="Arial" w:cs="Arial"/>
          <w:sz w:val="22"/>
          <w:szCs w:val="24"/>
        </w:rPr>
        <w:t xml:space="preserve"> Stellungnahmen und die Beschlussfassung über die zweite Auslegung fand in der Sitzung des Gemeinderates vom 22.02.2021 statt. </w:t>
      </w:r>
      <w:r w:rsidR="005E5E3F">
        <w:rPr>
          <w:rFonts w:ascii="Arial" w:hAnsi="Arial" w:cs="Arial"/>
          <w:sz w:val="22"/>
          <w:szCs w:val="24"/>
        </w:rPr>
        <w:t>Die z</w:t>
      </w:r>
      <w:r w:rsidR="00902DBC">
        <w:rPr>
          <w:rFonts w:ascii="Arial" w:hAnsi="Arial" w:cs="Arial"/>
          <w:sz w:val="22"/>
          <w:szCs w:val="24"/>
        </w:rPr>
        <w:t>weite Fachstellenbeteiligung fand</w:t>
      </w:r>
      <w:r w:rsidR="005E5E3F">
        <w:rPr>
          <w:rFonts w:ascii="Arial" w:hAnsi="Arial" w:cs="Arial"/>
          <w:sz w:val="22"/>
          <w:szCs w:val="24"/>
        </w:rPr>
        <w:t xml:space="preserve"> in der Zeit vom 11.02.2021 bis 15.03.2021 statt. Die eingegangenen Stellungnahmen wurden im </w:t>
      </w:r>
      <w:proofErr w:type="spellStart"/>
      <w:r w:rsidR="005E5E3F">
        <w:rPr>
          <w:rFonts w:ascii="Arial" w:hAnsi="Arial" w:cs="Arial"/>
          <w:sz w:val="22"/>
          <w:szCs w:val="24"/>
        </w:rPr>
        <w:t>Gemeindrat</w:t>
      </w:r>
      <w:proofErr w:type="spellEnd"/>
      <w:r w:rsidR="005E5E3F">
        <w:rPr>
          <w:rFonts w:ascii="Arial" w:hAnsi="Arial" w:cs="Arial"/>
          <w:sz w:val="22"/>
          <w:szCs w:val="24"/>
        </w:rPr>
        <w:t xml:space="preserve"> in der Sitzung vom 17.05.2022 behandelt. </w:t>
      </w:r>
      <w:r w:rsidR="006509C4">
        <w:rPr>
          <w:rFonts w:ascii="Arial" w:hAnsi="Arial" w:cs="Arial"/>
          <w:sz w:val="22"/>
          <w:szCs w:val="24"/>
          <w:u w:val="single"/>
        </w:rPr>
        <w:t>Aufgrund der Überarbeitung und Ergänzung (</w:t>
      </w:r>
      <w:r w:rsidR="003E1CE8">
        <w:rPr>
          <w:rFonts w:ascii="Arial" w:hAnsi="Arial" w:cs="Arial"/>
          <w:sz w:val="22"/>
          <w:szCs w:val="24"/>
          <w:u w:val="single"/>
        </w:rPr>
        <w:t>Punkt I.5.4 – Immissionsschutz) ist eine erneute öffentliche Auslegung und Beteiligung der Öffentlichkeit erforderlich. Die 3. Fachstellenbeteiligung wird gem. Art. 4a Abs. 3 Satz 3 und 4 BauGB in verkürzter Form stattfinden.</w:t>
      </w:r>
      <w:r w:rsidR="000B1117">
        <w:rPr>
          <w:rFonts w:ascii="Arial" w:hAnsi="Arial" w:cs="Arial"/>
          <w:sz w:val="22"/>
          <w:szCs w:val="24"/>
        </w:rPr>
        <w:t xml:space="preserve"> 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 xml:space="preserve">Der </w:t>
      </w:r>
      <w:r w:rsidR="00F2589D">
        <w:rPr>
          <w:rFonts w:ascii="Arial" w:hAnsi="Arial" w:cs="Arial"/>
          <w:sz w:val="22"/>
          <w:szCs w:val="24"/>
        </w:rPr>
        <w:t xml:space="preserve">Planbereich liegt im </w:t>
      </w:r>
      <w:r w:rsidR="00237C03">
        <w:rPr>
          <w:rFonts w:ascii="Arial" w:hAnsi="Arial" w:cs="Arial"/>
          <w:sz w:val="22"/>
          <w:szCs w:val="24"/>
        </w:rPr>
        <w:t>ca. 500 m südöstlich der Ortsmitte Drachselsried an der Hofmark</w:t>
      </w:r>
      <w:r w:rsidR="00F2589D">
        <w:rPr>
          <w:rFonts w:ascii="Arial" w:hAnsi="Arial" w:cs="Arial"/>
          <w:sz w:val="22"/>
          <w:szCs w:val="24"/>
        </w:rPr>
        <w:t xml:space="preserve">. Betroffen sind die Flur-Nrn. </w:t>
      </w:r>
      <w:r w:rsidR="00237C03">
        <w:rPr>
          <w:rFonts w:ascii="Arial" w:hAnsi="Arial" w:cs="Arial"/>
          <w:sz w:val="22"/>
          <w:szCs w:val="24"/>
        </w:rPr>
        <w:t>2113, 2115/7 und 2115/8</w:t>
      </w:r>
      <w:r w:rsidR="00F2589D">
        <w:rPr>
          <w:rFonts w:ascii="Arial" w:hAnsi="Arial" w:cs="Arial"/>
          <w:sz w:val="22"/>
          <w:szCs w:val="24"/>
        </w:rPr>
        <w:t>. Dieser</w:t>
      </w:r>
      <w:r w:rsidRPr="00BA0F09">
        <w:rPr>
          <w:rFonts w:ascii="Arial" w:hAnsi="Arial" w:cs="Arial"/>
          <w:sz w:val="22"/>
          <w:szCs w:val="24"/>
        </w:rPr>
        <w:t xml:space="preserve"> kann der folgenden zeichnerischen Darstellung (Übersichtsplan) entnommen werden:</w:t>
      </w:r>
    </w:p>
    <w:p w:rsidR="00612835" w:rsidRPr="00BA0F09" w:rsidRDefault="00612835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2"/>
          <w:szCs w:val="12"/>
        </w:rPr>
      </w:pPr>
    </w:p>
    <w:p w:rsidR="00BA0F09" w:rsidRPr="00BA0F09" w:rsidRDefault="00612835" w:rsidP="00BA0F0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4"/>
        </w:rPr>
      </w:pPr>
      <w:r w:rsidRPr="00612835">
        <w:rPr>
          <w:rFonts w:ascii="Arial" w:hAnsi="Arial" w:cs="Arial"/>
          <w:noProof/>
          <w:sz w:val="22"/>
          <w:szCs w:val="24"/>
        </w:rPr>
        <w:drawing>
          <wp:inline distT="0" distB="0" distL="0" distR="0">
            <wp:extent cx="3971925" cy="399085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891" cy="40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612835" w:rsidRDefault="00612835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  <w:u w:val="single"/>
        </w:rPr>
      </w:pPr>
    </w:p>
    <w:p w:rsidR="00612835" w:rsidRDefault="00612835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  <w:u w:val="single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  <w:u w:val="single"/>
        </w:rPr>
      </w:pPr>
      <w:r w:rsidRPr="00BA0F09">
        <w:rPr>
          <w:rFonts w:ascii="Arial" w:hAnsi="Arial" w:cs="Arial"/>
          <w:sz w:val="22"/>
          <w:szCs w:val="24"/>
          <w:u w:val="single"/>
        </w:rPr>
        <w:t>Städtebauliche Ziele</w:t>
      </w:r>
    </w:p>
    <w:p w:rsidR="008906F3" w:rsidRDefault="008906F3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743FCC" w:rsidRDefault="00612835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Die geplante Ausweisung von Bauland dient zur Deckung des vorhandenen Bedarfs und die Schaffung eines zentralen Standorts für die FFW Drachselsried. </w:t>
      </w: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743FCC" w:rsidRDefault="008906F3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Der Inhalt dieser Bekanntmachung und die </w:t>
      </w:r>
      <w:proofErr w:type="spellStart"/>
      <w:r>
        <w:rPr>
          <w:rFonts w:ascii="Arial" w:hAnsi="Arial" w:cs="Arial"/>
          <w:sz w:val="22"/>
          <w:szCs w:val="24"/>
        </w:rPr>
        <w:t>Planungunterlagen</w:t>
      </w:r>
      <w:proofErr w:type="spellEnd"/>
      <w:r>
        <w:rPr>
          <w:rFonts w:ascii="Arial" w:hAnsi="Arial" w:cs="Arial"/>
          <w:sz w:val="22"/>
          <w:szCs w:val="24"/>
        </w:rPr>
        <w:t xml:space="preserve"> sind auch auf der Internetseite der Gemeinde Drachselsried unter </w:t>
      </w:r>
      <w:hyperlink r:id="rId11" w:history="1">
        <w:r w:rsidRPr="00997F8D">
          <w:rPr>
            <w:rStyle w:val="Hyperlink"/>
            <w:rFonts w:ascii="Arial" w:hAnsi="Arial" w:cs="Arial"/>
            <w:sz w:val="22"/>
            <w:szCs w:val="24"/>
          </w:rPr>
          <w:t>www.drachselsried.de</w:t>
        </w:r>
      </w:hyperlink>
      <w:r>
        <w:rPr>
          <w:rFonts w:ascii="Arial" w:hAnsi="Arial" w:cs="Arial"/>
          <w:sz w:val="22"/>
          <w:szCs w:val="24"/>
        </w:rPr>
        <w:t xml:space="preserve"> einsehbar. </w:t>
      </w:r>
    </w:p>
    <w:p w:rsidR="008906F3" w:rsidRDefault="008906F3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763E88" w:rsidRPr="00BA0F09" w:rsidRDefault="00763E88" w:rsidP="00763E8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>Es sind folgende umweltbezogene Informationen zu den Auswirkungen auf Menschen, Tiere und Pflanzen, Boden, Wasser, Klima/Luft und Kultur- und Sachgüter sowie zur naturschutzrechtlichen Bewertung verfügbar:</w:t>
      </w:r>
    </w:p>
    <w:p w:rsidR="00763E88" w:rsidRPr="00BA0F09" w:rsidRDefault="00763E88" w:rsidP="00763E8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763E88" w:rsidRPr="00BA0F09" w:rsidTr="00291C7B">
        <w:tc>
          <w:tcPr>
            <w:tcW w:w="2972" w:type="dxa"/>
          </w:tcPr>
          <w:p w:rsidR="00763E88" w:rsidRPr="00BA0F09" w:rsidRDefault="00763E88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4"/>
              </w:rPr>
            </w:pPr>
            <w:r w:rsidRPr="00BA0F09">
              <w:rPr>
                <w:rFonts w:ascii="Arial" w:hAnsi="Arial" w:cs="Arial"/>
                <w:b/>
                <w:sz w:val="22"/>
                <w:szCs w:val="24"/>
              </w:rPr>
              <w:t>Schutzgut</w:t>
            </w:r>
          </w:p>
        </w:tc>
        <w:tc>
          <w:tcPr>
            <w:tcW w:w="6372" w:type="dxa"/>
          </w:tcPr>
          <w:p w:rsidR="00763E88" w:rsidRPr="00BA0F09" w:rsidRDefault="00763E88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4"/>
              </w:rPr>
            </w:pPr>
            <w:r w:rsidRPr="00BA0F09">
              <w:rPr>
                <w:rFonts w:ascii="Arial" w:hAnsi="Arial" w:cs="Arial"/>
                <w:b/>
                <w:sz w:val="22"/>
                <w:szCs w:val="24"/>
              </w:rPr>
              <w:t>Art der vorhandenen Information</w:t>
            </w:r>
          </w:p>
        </w:tc>
      </w:tr>
      <w:tr w:rsidR="00D45425" w:rsidRPr="00BA0F09" w:rsidTr="00291C7B">
        <w:tc>
          <w:tcPr>
            <w:tcW w:w="2972" w:type="dxa"/>
          </w:tcPr>
          <w:p w:rsidR="00D45425" w:rsidRPr="00D45425" w:rsidRDefault="00D45425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Mensch (Lärm)</w:t>
            </w:r>
          </w:p>
        </w:tc>
        <w:tc>
          <w:tcPr>
            <w:tcW w:w="6372" w:type="dxa"/>
          </w:tcPr>
          <w:p w:rsidR="00226A9B" w:rsidRDefault="00226A9B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Gesamterheblichkeit: Mittel</w:t>
            </w:r>
          </w:p>
          <w:p w:rsidR="00D45425" w:rsidRPr="00D45425" w:rsidRDefault="00226A9B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Durch Untersuchungen der Immissionen konnte festgestellt werden, dass schalltechnische Schutzmaßnahmen notwendig sind. Diese sind unter Punkt II.6 aufgelistet. Die festgesetzten Maßnahmen tragen dazu bei, dass die anlagen- und </w:t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>betriebs-bedingten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 xml:space="preserve"> Auswirkungen gering gehalten werden. </w:t>
            </w:r>
            <w:r w:rsidR="00D45425">
              <w:rPr>
                <w:rFonts w:ascii="Arial" w:hAnsi="Arial" w:cs="Arial"/>
                <w:sz w:val="22"/>
                <w:szCs w:val="24"/>
              </w:rPr>
              <w:t xml:space="preserve">  </w:t>
            </w:r>
          </w:p>
        </w:tc>
      </w:tr>
      <w:tr w:rsidR="00D45425" w:rsidRPr="00BA0F09" w:rsidTr="00291C7B">
        <w:tc>
          <w:tcPr>
            <w:tcW w:w="2972" w:type="dxa"/>
          </w:tcPr>
          <w:p w:rsidR="00D45425" w:rsidRDefault="00D45425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Mensch (Erholung)</w:t>
            </w:r>
          </w:p>
        </w:tc>
        <w:tc>
          <w:tcPr>
            <w:tcW w:w="6372" w:type="dxa"/>
          </w:tcPr>
          <w:p w:rsidR="00D45425" w:rsidRDefault="00226A9B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Gesamterheblichkeit: Mittel</w:t>
            </w:r>
          </w:p>
          <w:p w:rsidR="00226A9B" w:rsidRDefault="00226A9B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Geplante, private Grünflächen der Bauparzellen werten die Kategorie Erholung auf. Für Besucher des Naturbades gibt es keine negativen Auswirkungen. Das 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Tepolimit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 xml:space="preserve"> der Staatsstraße ist in diesem Bereich bei 70 km/h und trägt zusätzlich positiv bei. </w:t>
            </w:r>
          </w:p>
        </w:tc>
      </w:tr>
      <w:tr w:rsidR="00763E88" w:rsidRPr="00BA0F09" w:rsidTr="00291C7B">
        <w:tc>
          <w:tcPr>
            <w:tcW w:w="2972" w:type="dxa"/>
          </w:tcPr>
          <w:p w:rsidR="00763E88" w:rsidRPr="00BA0F09" w:rsidRDefault="00D45425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Arten und Lebensräume</w:t>
            </w:r>
          </w:p>
        </w:tc>
        <w:tc>
          <w:tcPr>
            <w:tcW w:w="6372" w:type="dxa"/>
          </w:tcPr>
          <w:p w:rsidR="00226A9B" w:rsidRDefault="00226A9B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Gesamterheblichkeit: Mittel</w:t>
            </w:r>
          </w:p>
          <w:p w:rsidR="00763E88" w:rsidRPr="00BA0F09" w:rsidRDefault="006D41F5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Inmitten der geplanten Wohnbaufläche liegt eine Nasswiese. Diese muss entfernt werden. Die Bodenstruktur wird dauerhaft verändert. Für das wegfallende Biotop wird eine Ausgleichs-fläche ausgewiesen. Weitere Biotope und die Bepflanzung innerhalb der Anbauverbotszone bleiben erhalten.  </w:t>
            </w:r>
            <w:r w:rsidR="007806A9">
              <w:rPr>
                <w:rFonts w:ascii="Arial" w:hAnsi="Arial" w:cs="Arial"/>
                <w:sz w:val="22"/>
                <w:szCs w:val="24"/>
              </w:rPr>
              <w:t xml:space="preserve">  </w:t>
            </w:r>
          </w:p>
        </w:tc>
      </w:tr>
      <w:tr w:rsidR="00763E88" w:rsidRPr="00BA0F09" w:rsidTr="00291C7B">
        <w:tc>
          <w:tcPr>
            <w:tcW w:w="2972" w:type="dxa"/>
          </w:tcPr>
          <w:p w:rsidR="00763E88" w:rsidRPr="00BA0F09" w:rsidRDefault="007806A9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Boden</w:t>
            </w:r>
          </w:p>
        </w:tc>
        <w:tc>
          <w:tcPr>
            <w:tcW w:w="6372" w:type="dxa"/>
          </w:tcPr>
          <w:p w:rsidR="006D41F5" w:rsidRDefault="006D41F5" w:rsidP="007806A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Gesamterheblichkeit: Mittel</w:t>
            </w:r>
          </w:p>
          <w:p w:rsidR="00763E88" w:rsidRPr="00BA0F09" w:rsidRDefault="006D41F5" w:rsidP="007806A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Der Boden steht als landwirtschaftliche Nutzfläche nicht mehr zur Verfügung und geht als Lebensraum für Tiere und Pflanzen verloren. </w:t>
            </w:r>
            <w:r w:rsidR="007806A9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63E88" w:rsidRPr="00BA0F09" w:rsidTr="00291C7B">
        <w:tc>
          <w:tcPr>
            <w:tcW w:w="2972" w:type="dxa"/>
          </w:tcPr>
          <w:p w:rsidR="00763E88" w:rsidRPr="00BA0F09" w:rsidRDefault="007806A9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Wasser</w:t>
            </w:r>
          </w:p>
        </w:tc>
        <w:tc>
          <w:tcPr>
            <w:tcW w:w="6372" w:type="dxa"/>
          </w:tcPr>
          <w:p w:rsidR="00763E88" w:rsidRDefault="006D41F5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Gesamterheblichkeit: Gering</w:t>
            </w:r>
          </w:p>
          <w:p w:rsidR="006D41F5" w:rsidRPr="00BA0F09" w:rsidRDefault="006D41F5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Wasserschutzgebiete oder Brunnennutzungen sind in diesem Bereich nicht vorhanden. Der vorhandene offene Wiesengraben wird z.T. verrohrt. </w:t>
            </w:r>
          </w:p>
        </w:tc>
      </w:tr>
      <w:tr w:rsidR="00763E88" w:rsidRPr="00BA0F09" w:rsidTr="00291C7B">
        <w:tc>
          <w:tcPr>
            <w:tcW w:w="2972" w:type="dxa"/>
          </w:tcPr>
          <w:p w:rsidR="00763E88" w:rsidRPr="00BA0F09" w:rsidRDefault="00763E88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BA0F09">
              <w:rPr>
                <w:rFonts w:ascii="Arial" w:hAnsi="Arial" w:cs="Arial"/>
                <w:sz w:val="22"/>
                <w:szCs w:val="24"/>
              </w:rPr>
              <w:t>Klima und Luft</w:t>
            </w:r>
          </w:p>
        </w:tc>
        <w:tc>
          <w:tcPr>
            <w:tcW w:w="6372" w:type="dxa"/>
          </w:tcPr>
          <w:p w:rsidR="000D63AD" w:rsidRDefault="000D63AD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Gesamterheblichkeit: Gering</w:t>
            </w:r>
          </w:p>
          <w:p w:rsidR="00763E88" w:rsidRPr="00BA0F09" w:rsidRDefault="000D63AD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Das Gebiet hatte bislang keine nachweisbare besondere Funktion für das Lokalklima. </w:t>
            </w:r>
            <w:r w:rsidR="009778DA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63E88" w:rsidRPr="00BA0F09" w:rsidTr="00291C7B">
        <w:tc>
          <w:tcPr>
            <w:tcW w:w="2972" w:type="dxa"/>
          </w:tcPr>
          <w:p w:rsidR="00763E88" w:rsidRPr="00BA0F09" w:rsidRDefault="00763E88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BA0F09">
              <w:rPr>
                <w:rFonts w:ascii="Arial" w:hAnsi="Arial" w:cs="Arial"/>
                <w:sz w:val="22"/>
                <w:szCs w:val="24"/>
              </w:rPr>
              <w:t>Landschaftsbild</w:t>
            </w:r>
          </w:p>
        </w:tc>
        <w:tc>
          <w:tcPr>
            <w:tcW w:w="6372" w:type="dxa"/>
          </w:tcPr>
          <w:p w:rsidR="000D63AD" w:rsidRDefault="000D63AD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Gesamterheblichkeit: Gering</w:t>
            </w:r>
          </w:p>
          <w:p w:rsidR="00763E88" w:rsidRPr="00BA0F09" w:rsidRDefault="000D63AD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Der Bebauungsplan führt hinsichtlich seiner Größe und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4"/>
              </w:rPr>
              <w:t>Ge-staltung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4"/>
              </w:rPr>
              <w:t xml:space="preserve"> zur Veränderung des Landschaftsbildes. </w:t>
            </w:r>
            <w:r w:rsidR="009778DA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63E88" w:rsidRPr="00BA0F09" w:rsidTr="00291C7B">
        <w:tc>
          <w:tcPr>
            <w:tcW w:w="2972" w:type="dxa"/>
          </w:tcPr>
          <w:p w:rsidR="00763E88" w:rsidRPr="00BA0F09" w:rsidRDefault="00763E88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BA0F09">
              <w:rPr>
                <w:rFonts w:ascii="Arial" w:hAnsi="Arial" w:cs="Arial"/>
                <w:sz w:val="22"/>
                <w:szCs w:val="24"/>
              </w:rPr>
              <w:t>Kultur- und Sachgüter</w:t>
            </w:r>
          </w:p>
        </w:tc>
        <w:tc>
          <w:tcPr>
            <w:tcW w:w="6372" w:type="dxa"/>
          </w:tcPr>
          <w:p w:rsidR="00763E88" w:rsidRPr="00BA0F09" w:rsidRDefault="009778DA" w:rsidP="00291C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Schutz- und Sachgüter sind nicht vorhanden. </w:t>
            </w:r>
          </w:p>
        </w:tc>
      </w:tr>
    </w:tbl>
    <w:p w:rsidR="00763E88" w:rsidRPr="00BA0F09" w:rsidRDefault="00763E88" w:rsidP="00763E8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763E88" w:rsidRDefault="00763E88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 xml:space="preserve">Die Unterlagen, bestehend aus den Planzeichnungen der Begründung und dem Umweltbericht, liegen mit den wesentlichen bereits vorliegenden umweltbezogenen Stellungnahmen in der Zeit vom 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2"/>
          <w:szCs w:val="12"/>
        </w:rPr>
      </w:pPr>
    </w:p>
    <w:p w:rsidR="00BA0F09" w:rsidRPr="00BA0F09" w:rsidRDefault="00902DBC" w:rsidP="00BA0F09">
      <w:pPr>
        <w:overflowPunct/>
        <w:autoSpaceDE/>
        <w:autoSpaceDN/>
        <w:adjustRightInd/>
        <w:ind w:left="360"/>
        <w:jc w:val="center"/>
        <w:textAlignment w:val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29.08.2022 bis 16.09</w:t>
      </w:r>
      <w:bookmarkStart w:id="0" w:name="_GoBack"/>
      <w:bookmarkEnd w:id="0"/>
      <w:r w:rsidR="003E1CE8">
        <w:rPr>
          <w:rFonts w:ascii="Arial" w:hAnsi="Arial" w:cs="Arial"/>
          <w:b/>
          <w:sz w:val="26"/>
          <w:szCs w:val="26"/>
        </w:rPr>
        <w:t>.2022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2"/>
          <w:szCs w:val="12"/>
        </w:rPr>
      </w:pPr>
    </w:p>
    <w:p w:rsid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 xml:space="preserve">im Rathaus der Gemeinde </w:t>
      </w:r>
      <w:r w:rsidR="009778DA">
        <w:rPr>
          <w:rFonts w:ascii="Arial" w:hAnsi="Arial" w:cs="Arial"/>
          <w:sz w:val="22"/>
          <w:szCs w:val="24"/>
        </w:rPr>
        <w:t>Drachselsried, Zellertalstr. 12, 94256 Drachselsried</w:t>
      </w:r>
      <w:r w:rsidR="003E1CE8">
        <w:rPr>
          <w:rFonts w:ascii="Arial" w:hAnsi="Arial" w:cs="Arial"/>
          <w:sz w:val="22"/>
          <w:szCs w:val="24"/>
        </w:rPr>
        <w:t xml:space="preserve"> erneut</w:t>
      </w:r>
      <w:r w:rsidRPr="00BA0F09">
        <w:rPr>
          <w:rFonts w:ascii="Arial" w:hAnsi="Arial" w:cs="Arial"/>
          <w:sz w:val="22"/>
          <w:szCs w:val="24"/>
        </w:rPr>
        <w:t xml:space="preserve"> während der allgemeinen Dienststunden zur Einsichtnahme öffentlich aus. </w:t>
      </w:r>
    </w:p>
    <w:p w:rsidR="009778DA" w:rsidRPr="00BA0F09" w:rsidRDefault="009778DA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A34355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Während der Auslegungsfrist</w:t>
      </w:r>
      <w:r w:rsidR="00BA0F09" w:rsidRPr="00BA0F09">
        <w:rPr>
          <w:rFonts w:ascii="Arial" w:hAnsi="Arial" w:cs="Arial"/>
          <w:sz w:val="22"/>
          <w:szCs w:val="24"/>
        </w:rPr>
        <w:t xml:space="preserve"> können Bedenken und Anregungen, schriftlich oder zur Niederschrift, vorgebracht werden. Nicht fristgerecht eingegangene Einwände können nach § 3 Abs. 2 Satz 2 BauGB und § 4 a Abs. 6 BauGB bei der Beschlussfassung über diese Flächennutzungsplanänderung unberücksichtigt bleiben. Darüber hinaus wird auf die Behandlung von Rechtsbehelfen von Vereinigungen nach § 4 Abs. 3 Satz 1 Nr. 2 Umweltrechtsbehelfsgesetz (</w:t>
      </w:r>
      <w:proofErr w:type="spellStart"/>
      <w:r w:rsidR="00BA0F09" w:rsidRPr="00BA0F09">
        <w:rPr>
          <w:rFonts w:ascii="Arial" w:hAnsi="Arial" w:cs="Arial"/>
          <w:sz w:val="22"/>
          <w:szCs w:val="24"/>
        </w:rPr>
        <w:t>UmwRG</w:t>
      </w:r>
      <w:proofErr w:type="spellEnd"/>
      <w:r w:rsidR="00BA0F09" w:rsidRPr="00BA0F09">
        <w:rPr>
          <w:rFonts w:ascii="Arial" w:hAnsi="Arial" w:cs="Arial"/>
          <w:sz w:val="22"/>
          <w:szCs w:val="24"/>
        </w:rPr>
        <w:t>) hingewiesen.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Drachselsried</w:t>
      </w:r>
      <w:r w:rsidR="00BA0F09" w:rsidRPr="00BA0F09">
        <w:rPr>
          <w:rFonts w:ascii="Arial" w:hAnsi="Arial" w:cs="Arial"/>
          <w:sz w:val="22"/>
          <w:szCs w:val="24"/>
        </w:rPr>
        <w:t xml:space="preserve">, </w:t>
      </w:r>
      <w:r w:rsidR="003E1CE8">
        <w:rPr>
          <w:rFonts w:ascii="Arial" w:hAnsi="Arial" w:cs="Arial"/>
          <w:sz w:val="22"/>
          <w:szCs w:val="24"/>
        </w:rPr>
        <w:t>18.08.2022</w:t>
      </w:r>
    </w:p>
    <w:p w:rsidR="00BA0F09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GEMEINDE DRACHSELSRIED</w:t>
      </w:r>
    </w:p>
    <w:p w:rsid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24"/>
        </w:rPr>
      </w:pP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  <w:t>(Siegel)</w:t>
      </w:r>
    </w:p>
    <w:p w:rsid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 g l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A0F09">
        <w:rPr>
          <w:rFonts w:ascii="Arial" w:hAnsi="Arial" w:cs="Arial"/>
          <w:sz w:val="22"/>
          <w:szCs w:val="22"/>
        </w:rPr>
        <w:t>Erste</w:t>
      </w:r>
      <w:r w:rsidR="008B4D6D">
        <w:rPr>
          <w:rFonts w:ascii="Arial" w:hAnsi="Arial" w:cs="Arial"/>
          <w:sz w:val="22"/>
          <w:szCs w:val="22"/>
        </w:rPr>
        <w:t>r Bürgermeister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pBdr>
          <w:bottom w:val="single" w:sz="4" w:space="1" w:color="auto"/>
        </w:pBd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keepNext/>
        <w:overflowPunct/>
        <w:autoSpaceDE/>
        <w:autoSpaceDN/>
        <w:adjustRightInd/>
        <w:jc w:val="both"/>
        <w:textAlignment w:val="auto"/>
        <w:outlineLvl w:val="1"/>
        <w:rPr>
          <w:rFonts w:ascii="Arial" w:hAnsi="Arial" w:cs="Arial"/>
          <w:sz w:val="22"/>
          <w:szCs w:val="24"/>
          <w:u w:val="single"/>
        </w:rPr>
      </w:pPr>
      <w:r w:rsidRPr="00BA0F09">
        <w:rPr>
          <w:rFonts w:ascii="Arial" w:hAnsi="Arial" w:cs="Arial"/>
          <w:sz w:val="22"/>
          <w:szCs w:val="24"/>
          <w:u w:val="single"/>
        </w:rPr>
        <w:t>Ortsüblich bekannt gemacht durch Anschlag an den Amtstafeln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FF0000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>angeheftet am:</w:t>
      </w:r>
      <w:r w:rsidRPr="00BA0F09">
        <w:rPr>
          <w:rFonts w:ascii="Arial" w:hAnsi="Arial" w:cs="Arial"/>
          <w:sz w:val="22"/>
          <w:szCs w:val="24"/>
        </w:rPr>
        <w:tab/>
      </w:r>
      <w:r w:rsidR="003E1CE8">
        <w:rPr>
          <w:rFonts w:ascii="Arial" w:hAnsi="Arial" w:cs="Arial"/>
          <w:sz w:val="22"/>
          <w:szCs w:val="24"/>
        </w:rPr>
        <w:t>18.08.2022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>abgenommen am:</w:t>
      </w:r>
      <w:r w:rsidRPr="00BA0F09">
        <w:rPr>
          <w:rFonts w:ascii="Arial" w:hAnsi="Arial" w:cs="Arial"/>
          <w:sz w:val="22"/>
          <w:szCs w:val="24"/>
        </w:rPr>
        <w:tab/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243415" w:rsidRPr="0026117A" w:rsidRDefault="00243415" w:rsidP="00993743">
      <w:pPr>
        <w:rPr>
          <w:rFonts w:asciiTheme="minorHAnsi" w:hAnsiTheme="minorHAnsi" w:cstheme="minorHAnsi"/>
          <w:sz w:val="20"/>
        </w:rPr>
      </w:pPr>
    </w:p>
    <w:sectPr w:rsidR="00243415" w:rsidRPr="0026117A" w:rsidSect="00E2172F">
      <w:footerReference w:type="default" r:id="rId12"/>
      <w:footerReference w:type="first" r:id="rId13"/>
      <w:pgSz w:w="11907" w:h="16840" w:code="9"/>
      <w:pgMar w:top="907" w:right="1134" w:bottom="1077" w:left="1304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A1" w:rsidRDefault="005363A1">
      <w:r>
        <w:separator/>
      </w:r>
    </w:p>
  </w:endnote>
  <w:endnote w:type="continuationSeparator" w:id="0">
    <w:p w:rsidR="005363A1" w:rsidRDefault="0053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9" w:rsidRPr="001B145F" w:rsidRDefault="00DA03A9" w:rsidP="001B145F">
    <w:pPr>
      <w:pStyle w:val="Fuzeile"/>
      <w:jc w:val="center"/>
      <w:rPr>
        <w:rFonts w:ascii="Eurostile" w:hAnsi="Eurostile"/>
        <w:sz w:val="16"/>
        <w:szCs w:val="16"/>
      </w:rPr>
    </w:pPr>
    <w:r w:rsidRPr="001B145F">
      <w:rPr>
        <w:rFonts w:ascii="Eurostile" w:hAnsi="Eurostile"/>
        <w:sz w:val="16"/>
        <w:szCs w:val="16"/>
      </w:rPr>
      <w:t xml:space="preserve">Seite </w:t>
    </w:r>
    <w:r w:rsidRPr="001B145F">
      <w:rPr>
        <w:rFonts w:ascii="Eurostile" w:hAnsi="Eurostile"/>
        <w:b/>
        <w:sz w:val="16"/>
        <w:szCs w:val="16"/>
      </w:rPr>
      <w:fldChar w:fldCharType="begin"/>
    </w:r>
    <w:r w:rsidRPr="001B145F">
      <w:rPr>
        <w:rFonts w:ascii="Eurostile" w:hAnsi="Eurostile"/>
        <w:b/>
        <w:sz w:val="16"/>
        <w:szCs w:val="16"/>
      </w:rPr>
      <w:instrText>PAGE  \* Arabic  \* MERGEFORMAT</w:instrText>
    </w:r>
    <w:r w:rsidRPr="001B145F">
      <w:rPr>
        <w:rFonts w:ascii="Eurostile" w:hAnsi="Eurostile"/>
        <w:b/>
        <w:sz w:val="16"/>
        <w:szCs w:val="16"/>
      </w:rPr>
      <w:fldChar w:fldCharType="separate"/>
    </w:r>
    <w:r w:rsidR="00902DBC">
      <w:rPr>
        <w:rFonts w:ascii="Eurostile" w:hAnsi="Eurostile"/>
        <w:b/>
        <w:noProof/>
        <w:sz w:val="16"/>
        <w:szCs w:val="16"/>
      </w:rPr>
      <w:t>2</w:t>
    </w:r>
    <w:r w:rsidRPr="001B145F">
      <w:rPr>
        <w:rFonts w:ascii="Eurostile" w:hAnsi="Eurostile"/>
        <w:b/>
        <w:sz w:val="16"/>
        <w:szCs w:val="16"/>
      </w:rPr>
      <w:fldChar w:fldCharType="end"/>
    </w:r>
    <w:r w:rsidRPr="001B145F">
      <w:rPr>
        <w:rFonts w:ascii="Eurostile" w:hAnsi="Eurostile"/>
        <w:sz w:val="16"/>
        <w:szCs w:val="16"/>
      </w:rPr>
      <w:t xml:space="preserve"> von </w:t>
    </w:r>
    <w:fldSimple w:instr="NUMPAGES  \* Arabic  \* MERGEFORMAT">
      <w:r w:rsidR="00902DBC" w:rsidRPr="00902DBC">
        <w:rPr>
          <w:rFonts w:ascii="Eurostile" w:hAnsi="Eurostile"/>
          <w:noProof/>
          <w:sz w:val="14"/>
          <w:szCs w:val="14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8" w:type="dxa"/>
      <w:shd w:val="clear" w:color="auto" w:fill="BFBFBF" w:themeFill="background1" w:themeFillShade="BF"/>
      <w:tblLayout w:type="fixed"/>
      <w:tblCellMar>
        <w:left w:w="71" w:type="dxa"/>
        <w:right w:w="28" w:type="dxa"/>
      </w:tblCellMar>
      <w:tblLook w:val="0000" w:firstRow="0" w:lastRow="0" w:firstColumn="0" w:lastColumn="0" w:noHBand="0" w:noVBand="0"/>
    </w:tblPr>
    <w:tblGrid>
      <w:gridCol w:w="10632"/>
    </w:tblGrid>
    <w:tr w:rsidR="00DA03A9" w:rsidRPr="001F392F" w:rsidTr="002452F4">
      <w:tc>
        <w:tcPr>
          <w:tcW w:w="10632" w:type="dxa"/>
          <w:shd w:val="clear" w:color="auto" w:fill="FFFFFF" w:themeFill="background1"/>
        </w:tcPr>
        <w:p w:rsidR="00DA03A9" w:rsidRPr="001F392F" w:rsidRDefault="00DA03A9" w:rsidP="00A62506">
          <w:pPr>
            <w:jc w:val="center"/>
            <w:rPr>
              <w:rFonts w:ascii="Eurostile" w:hAnsi="Eurostile"/>
              <w:color w:val="404040" w:themeColor="text1" w:themeTint="BF"/>
              <w:sz w:val="16"/>
              <w:szCs w:val="16"/>
            </w:rPr>
          </w:pPr>
          <w:r w:rsidRPr="00A62506">
            <w:rPr>
              <w:rFonts w:ascii="Eurostile" w:hAnsi="Eurostile"/>
              <w:color w:val="404040" w:themeColor="text1" w:themeTint="BF"/>
              <w:sz w:val="16"/>
              <w:szCs w:val="16"/>
            </w:rPr>
            <w:t xml:space="preserve">Seite </w:t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fldChar w:fldCharType="begin"/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instrText>PAGE  \* Arabic  \* MERGEFORMAT</w:instrText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fldChar w:fldCharType="separate"/>
          </w:r>
          <w:r w:rsidR="00902DBC">
            <w:rPr>
              <w:rFonts w:ascii="Eurostile" w:hAnsi="Eurostile"/>
              <w:b/>
              <w:noProof/>
              <w:color w:val="404040" w:themeColor="text1" w:themeTint="BF"/>
              <w:sz w:val="16"/>
              <w:szCs w:val="16"/>
            </w:rPr>
            <w:t>1</w:t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fldChar w:fldCharType="end"/>
          </w:r>
          <w:r w:rsidRPr="00A62506">
            <w:rPr>
              <w:rFonts w:ascii="Eurostile" w:hAnsi="Eurostile"/>
              <w:color w:val="404040" w:themeColor="text1" w:themeTint="BF"/>
              <w:sz w:val="16"/>
              <w:szCs w:val="16"/>
            </w:rPr>
            <w:t xml:space="preserve"> von </w:t>
          </w:r>
          <w:fldSimple w:instr="NUMPAGES  \* Arabic  \* MERGEFORMAT">
            <w:r w:rsidR="00902DBC" w:rsidRPr="00902DBC">
              <w:rPr>
                <w:rFonts w:ascii="Eurostile" w:hAnsi="Eurostile"/>
                <w:noProof/>
                <w:color w:val="404040" w:themeColor="text1" w:themeTint="BF"/>
                <w:sz w:val="14"/>
                <w:szCs w:val="14"/>
              </w:rPr>
              <w:t>3</w:t>
            </w:r>
          </w:fldSimple>
        </w:p>
      </w:tc>
    </w:tr>
  </w:tbl>
  <w:p w:rsidR="00DA03A9" w:rsidRPr="009375BB" w:rsidRDefault="00DA03A9" w:rsidP="009375BB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A1" w:rsidRDefault="005363A1">
      <w:r>
        <w:separator/>
      </w:r>
    </w:p>
  </w:footnote>
  <w:footnote w:type="continuationSeparator" w:id="0">
    <w:p w:rsidR="005363A1" w:rsidRDefault="0053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0C"/>
    <w:multiLevelType w:val="hybridMultilevel"/>
    <w:tmpl w:val="02026B4A"/>
    <w:lvl w:ilvl="0" w:tplc="0407000F">
      <w:start w:val="1"/>
      <w:numFmt w:val="decimal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71B7CFC"/>
    <w:multiLevelType w:val="hybridMultilevel"/>
    <w:tmpl w:val="1F346B4C"/>
    <w:lvl w:ilvl="0" w:tplc="316EB9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573F7"/>
    <w:multiLevelType w:val="singleLevel"/>
    <w:tmpl w:val="F4B08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325E7B40"/>
    <w:multiLevelType w:val="hybridMultilevel"/>
    <w:tmpl w:val="49163AD2"/>
    <w:lvl w:ilvl="0" w:tplc="D92ADBE0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550E"/>
    <w:multiLevelType w:val="hybridMultilevel"/>
    <w:tmpl w:val="131C6EBE"/>
    <w:lvl w:ilvl="0" w:tplc="58FC2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44072"/>
    <w:multiLevelType w:val="hybridMultilevel"/>
    <w:tmpl w:val="2264BB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5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17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9"/>
    <w:rsid w:val="00000D11"/>
    <w:rsid w:val="00004F06"/>
    <w:rsid w:val="0000669B"/>
    <w:rsid w:val="00012C30"/>
    <w:rsid w:val="00015C11"/>
    <w:rsid w:val="00015CFC"/>
    <w:rsid w:val="00020CFC"/>
    <w:rsid w:val="00032610"/>
    <w:rsid w:val="000331C3"/>
    <w:rsid w:val="00037BB6"/>
    <w:rsid w:val="000406A8"/>
    <w:rsid w:val="00047A49"/>
    <w:rsid w:val="000669C2"/>
    <w:rsid w:val="00073E80"/>
    <w:rsid w:val="0007719A"/>
    <w:rsid w:val="0008017F"/>
    <w:rsid w:val="000867AE"/>
    <w:rsid w:val="000A0988"/>
    <w:rsid w:val="000B0AD9"/>
    <w:rsid w:val="000B1117"/>
    <w:rsid w:val="000B3119"/>
    <w:rsid w:val="000B5952"/>
    <w:rsid w:val="000C6F17"/>
    <w:rsid w:val="000D3318"/>
    <w:rsid w:val="000D5615"/>
    <w:rsid w:val="000D63AD"/>
    <w:rsid w:val="000D6AAA"/>
    <w:rsid w:val="000E4339"/>
    <w:rsid w:val="000E47C0"/>
    <w:rsid w:val="000F0DA4"/>
    <w:rsid w:val="000F7D39"/>
    <w:rsid w:val="001451EF"/>
    <w:rsid w:val="001703B9"/>
    <w:rsid w:val="00173762"/>
    <w:rsid w:val="00173C17"/>
    <w:rsid w:val="001771BB"/>
    <w:rsid w:val="00185DCC"/>
    <w:rsid w:val="001A3BBB"/>
    <w:rsid w:val="001A47CC"/>
    <w:rsid w:val="001B145F"/>
    <w:rsid w:val="001B49A1"/>
    <w:rsid w:val="001C2C4A"/>
    <w:rsid w:val="001D4EEA"/>
    <w:rsid w:val="001E35AF"/>
    <w:rsid w:val="001F392F"/>
    <w:rsid w:val="001F3A4B"/>
    <w:rsid w:val="00203FA5"/>
    <w:rsid w:val="00213C14"/>
    <w:rsid w:val="00214C56"/>
    <w:rsid w:val="0021747D"/>
    <w:rsid w:val="00220376"/>
    <w:rsid w:val="00226A9B"/>
    <w:rsid w:val="00237C03"/>
    <w:rsid w:val="00243415"/>
    <w:rsid w:val="002452F4"/>
    <w:rsid w:val="00245633"/>
    <w:rsid w:val="00250FA9"/>
    <w:rsid w:val="00252618"/>
    <w:rsid w:val="0026117A"/>
    <w:rsid w:val="002723A9"/>
    <w:rsid w:val="00272EFC"/>
    <w:rsid w:val="00292F7C"/>
    <w:rsid w:val="00293469"/>
    <w:rsid w:val="002A1114"/>
    <w:rsid w:val="002A2AB1"/>
    <w:rsid w:val="002A75EA"/>
    <w:rsid w:val="002B24F0"/>
    <w:rsid w:val="002B2FEE"/>
    <w:rsid w:val="002B45DC"/>
    <w:rsid w:val="002B7EE0"/>
    <w:rsid w:val="002D6498"/>
    <w:rsid w:val="002E3E05"/>
    <w:rsid w:val="002E53FC"/>
    <w:rsid w:val="002F64D3"/>
    <w:rsid w:val="00304E0E"/>
    <w:rsid w:val="00307CAE"/>
    <w:rsid w:val="0033299A"/>
    <w:rsid w:val="00336327"/>
    <w:rsid w:val="003514E4"/>
    <w:rsid w:val="003578C8"/>
    <w:rsid w:val="00365C32"/>
    <w:rsid w:val="00365F01"/>
    <w:rsid w:val="0038167D"/>
    <w:rsid w:val="00383669"/>
    <w:rsid w:val="0039166A"/>
    <w:rsid w:val="003961F1"/>
    <w:rsid w:val="003A0CB8"/>
    <w:rsid w:val="003A14F5"/>
    <w:rsid w:val="003A6F7F"/>
    <w:rsid w:val="003B4FA4"/>
    <w:rsid w:val="003B6508"/>
    <w:rsid w:val="003C1C99"/>
    <w:rsid w:val="003D280B"/>
    <w:rsid w:val="003D633F"/>
    <w:rsid w:val="003D6F0E"/>
    <w:rsid w:val="003E1CE8"/>
    <w:rsid w:val="003E51EF"/>
    <w:rsid w:val="003E64A4"/>
    <w:rsid w:val="003F2E5C"/>
    <w:rsid w:val="003F3130"/>
    <w:rsid w:val="003F4A52"/>
    <w:rsid w:val="00414431"/>
    <w:rsid w:val="0041582A"/>
    <w:rsid w:val="00427F22"/>
    <w:rsid w:val="00431C11"/>
    <w:rsid w:val="00436BDD"/>
    <w:rsid w:val="00446176"/>
    <w:rsid w:val="00450666"/>
    <w:rsid w:val="00450BA2"/>
    <w:rsid w:val="004535A0"/>
    <w:rsid w:val="004652C7"/>
    <w:rsid w:val="004668B6"/>
    <w:rsid w:val="00467098"/>
    <w:rsid w:val="00467CB5"/>
    <w:rsid w:val="00471403"/>
    <w:rsid w:val="00483BD6"/>
    <w:rsid w:val="0048702D"/>
    <w:rsid w:val="00487AF9"/>
    <w:rsid w:val="0049523C"/>
    <w:rsid w:val="004B4400"/>
    <w:rsid w:val="004C13F2"/>
    <w:rsid w:val="004D458E"/>
    <w:rsid w:val="004E7679"/>
    <w:rsid w:val="004F04BB"/>
    <w:rsid w:val="004F233E"/>
    <w:rsid w:val="004F2553"/>
    <w:rsid w:val="004F2BB7"/>
    <w:rsid w:val="00507BEE"/>
    <w:rsid w:val="0051099D"/>
    <w:rsid w:val="00514616"/>
    <w:rsid w:val="00520263"/>
    <w:rsid w:val="00522861"/>
    <w:rsid w:val="00532C6D"/>
    <w:rsid w:val="005363A1"/>
    <w:rsid w:val="00544FC7"/>
    <w:rsid w:val="005524EA"/>
    <w:rsid w:val="00552AA7"/>
    <w:rsid w:val="005540DD"/>
    <w:rsid w:val="005600BF"/>
    <w:rsid w:val="0056291C"/>
    <w:rsid w:val="005637A3"/>
    <w:rsid w:val="00570427"/>
    <w:rsid w:val="0057460F"/>
    <w:rsid w:val="00583925"/>
    <w:rsid w:val="00595214"/>
    <w:rsid w:val="005A4E99"/>
    <w:rsid w:val="005C0D03"/>
    <w:rsid w:val="005C2BF4"/>
    <w:rsid w:val="005D0EB4"/>
    <w:rsid w:val="005D1021"/>
    <w:rsid w:val="005D4495"/>
    <w:rsid w:val="005E17CE"/>
    <w:rsid w:val="005E5E3F"/>
    <w:rsid w:val="005E7920"/>
    <w:rsid w:val="00602D1A"/>
    <w:rsid w:val="00612835"/>
    <w:rsid w:val="00622265"/>
    <w:rsid w:val="00631005"/>
    <w:rsid w:val="006367EC"/>
    <w:rsid w:val="0064508C"/>
    <w:rsid w:val="00650671"/>
    <w:rsid w:val="006509C4"/>
    <w:rsid w:val="00651E6A"/>
    <w:rsid w:val="006521CE"/>
    <w:rsid w:val="00652DA4"/>
    <w:rsid w:val="006978F0"/>
    <w:rsid w:val="006B1F65"/>
    <w:rsid w:val="006C7037"/>
    <w:rsid w:val="006D2350"/>
    <w:rsid w:val="006D41F5"/>
    <w:rsid w:val="006E1C2B"/>
    <w:rsid w:val="006E2DD0"/>
    <w:rsid w:val="006E381A"/>
    <w:rsid w:val="006E4CBB"/>
    <w:rsid w:val="006F4DF0"/>
    <w:rsid w:val="00703EA0"/>
    <w:rsid w:val="00707D87"/>
    <w:rsid w:val="007116C2"/>
    <w:rsid w:val="00712CB2"/>
    <w:rsid w:val="007344B7"/>
    <w:rsid w:val="00735EEC"/>
    <w:rsid w:val="00743A3C"/>
    <w:rsid w:val="00743FCC"/>
    <w:rsid w:val="007527C8"/>
    <w:rsid w:val="00755BBD"/>
    <w:rsid w:val="00763E88"/>
    <w:rsid w:val="007806A9"/>
    <w:rsid w:val="007A62BD"/>
    <w:rsid w:val="007B21EC"/>
    <w:rsid w:val="007C131F"/>
    <w:rsid w:val="007D5E3B"/>
    <w:rsid w:val="007D6339"/>
    <w:rsid w:val="007E47CC"/>
    <w:rsid w:val="007F14A8"/>
    <w:rsid w:val="007F1A36"/>
    <w:rsid w:val="00800D10"/>
    <w:rsid w:val="00805F8F"/>
    <w:rsid w:val="00812008"/>
    <w:rsid w:val="00812B23"/>
    <w:rsid w:val="00823229"/>
    <w:rsid w:val="00831F70"/>
    <w:rsid w:val="00847F0D"/>
    <w:rsid w:val="008612C5"/>
    <w:rsid w:val="00864DE1"/>
    <w:rsid w:val="00866F57"/>
    <w:rsid w:val="00867AA8"/>
    <w:rsid w:val="00871B41"/>
    <w:rsid w:val="00876247"/>
    <w:rsid w:val="00887C70"/>
    <w:rsid w:val="008906F3"/>
    <w:rsid w:val="008A2A3C"/>
    <w:rsid w:val="008A57AD"/>
    <w:rsid w:val="008B4D6D"/>
    <w:rsid w:val="008B5191"/>
    <w:rsid w:val="00902D05"/>
    <w:rsid w:val="00902DBC"/>
    <w:rsid w:val="009100D2"/>
    <w:rsid w:val="00921B72"/>
    <w:rsid w:val="009365D3"/>
    <w:rsid w:val="009375BB"/>
    <w:rsid w:val="00944199"/>
    <w:rsid w:val="00951F92"/>
    <w:rsid w:val="009664AB"/>
    <w:rsid w:val="00975424"/>
    <w:rsid w:val="009778DA"/>
    <w:rsid w:val="009837D0"/>
    <w:rsid w:val="00993743"/>
    <w:rsid w:val="009B3EDE"/>
    <w:rsid w:val="009B4F22"/>
    <w:rsid w:val="009D6EAB"/>
    <w:rsid w:val="009E2FC9"/>
    <w:rsid w:val="009F0076"/>
    <w:rsid w:val="00A13866"/>
    <w:rsid w:val="00A148DA"/>
    <w:rsid w:val="00A34355"/>
    <w:rsid w:val="00A43E24"/>
    <w:rsid w:val="00A62506"/>
    <w:rsid w:val="00A63D55"/>
    <w:rsid w:val="00A67F44"/>
    <w:rsid w:val="00A71A34"/>
    <w:rsid w:val="00A754E2"/>
    <w:rsid w:val="00A93F8A"/>
    <w:rsid w:val="00AD38F6"/>
    <w:rsid w:val="00AD4138"/>
    <w:rsid w:val="00AF51A0"/>
    <w:rsid w:val="00AF79DF"/>
    <w:rsid w:val="00B007A5"/>
    <w:rsid w:val="00B164E1"/>
    <w:rsid w:val="00B16822"/>
    <w:rsid w:val="00B16981"/>
    <w:rsid w:val="00B20495"/>
    <w:rsid w:val="00B21224"/>
    <w:rsid w:val="00B22572"/>
    <w:rsid w:val="00B257DD"/>
    <w:rsid w:val="00B279B9"/>
    <w:rsid w:val="00B34C7C"/>
    <w:rsid w:val="00B64A6E"/>
    <w:rsid w:val="00B75971"/>
    <w:rsid w:val="00B813B8"/>
    <w:rsid w:val="00B87A2F"/>
    <w:rsid w:val="00B90660"/>
    <w:rsid w:val="00B978F6"/>
    <w:rsid w:val="00BA0F09"/>
    <w:rsid w:val="00BA4DC7"/>
    <w:rsid w:val="00BA5DEB"/>
    <w:rsid w:val="00BA60BA"/>
    <w:rsid w:val="00BB5B70"/>
    <w:rsid w:val="00BB760A"/>
    <w:rsid w:val="00BC0BA9"/>
    <w:rsid w:val="00BC7C93"/>
    <w:rsid w:val="00BE604C"/>
    <w:rsid w:val="00C15490"/>
    <w:rsid w:val="00C16DE6"/>
    <w:rsid w:val="00C26187"/>
    <w:rsid w:val="00C77C2B"/>
    <w:rsid w:val="00C95C5E"/>
    <w:rsid w:val="00CA422C"/>
    <w:rsid w:val="00CA6378"/>
    <w:rsid w:val="00CC03AF"/>
    <w:rsid w:val="00CC6FFC"/>
    <w:rsid w:val="00CD1080"/>
    <w:rsid w:val="00CE6B8F"/>
    <w:rsid w:val="00D026E6"/>
    <w:rsid w:val="00D036C2"/>
    <w:rsid w:val="00D104D1"/>
    <w:rsid w:val="00D13560"/>
    <w:rsid w:val="00D13620"/>
    <w:rsid w:val="00D24B46"/>
    <w:rsid w:val="00D252E3"/>
    <w:rsid w:val="00D32451"/>
    <w:rsid w:val="00D45425"/>
    <w:rsid w:val="00D50FE2"/>
    <w:rsid w:val="00D57353"/>
    <w:rsid w:val="00D679A8"/>
    <w:rsid w:val="00D73458"/>
    <w:rsid w:val="00D74D9C"/>
    <w:rsid w:val="00D827C2"/>
    <w:rsid w:val="00D83C85"/>
    <w:rsid w:val="00D853ED"/>
    <w:rsid w:val="00DA03A9"/>
    <w:rsid w:val="00DB2FA5"/>
    <w:rsid w:val="00DC594D"/>
    <w:rsid w:val="00DD29C6"/>
    <w:rsid w:val="00DD35EA"/>
    <w:rsid w:val="00DD5C23"/>
    <w:rsid w:val="00DE7023"/>
    <w:rsid w:val="00DF679F"/>
    <w:rsid w:val="00DF75CB"/>
    <w:rsid w:val="00E10A8F"/>
    <w:rsid w:val="00E2172F"/>
    <w:rsid w:val="00E23174"/>
    <w:rsid w:val="00E30EEC"/>
    <w:rsid w:val="00E335B3"/>
    <w:rsid w:val="00E3726F"/>
    <w:rsid w:val="00E433A4"/>
    <w:rsid w:val="00E452D2"/>
    <w:rsid w:val="00E57546"/>
    <w:rsid w:val="00E63D72"/>
    <w:rsid w:val="00E6656E"/>
    <w:rsid w:val="00E81EE3"/>
    <w:rsid w:val="00E83EA3"/>
    <w:rsid w:val="00E97822"/>
    <w:rsid w:val="00EA2606"/>
    <w:rsid w:val="00EA6962"/>
    <w:rsid w:val="00EB1439"/>
    <w:rsid w:val="00EE5C6A"/>
    <w:rsid w:val="00EE6B27"/>
    <w:rsid w:val="00EF2577"/>
    <w:rsid w:val="00F00CEF"/>
    <w:rsid w:val="00F00FEB"/>
    <w:rsid w:val="00F17D4E"/>
    <w:rsid w:val="00F2413C"/>
    <w:rsid w:val="00F2589D"/>
    <w:rsid w:val="00F2630F"/>
    <w:rsid w:val="00F37DA7"/>
    <w:rsid w:val="00F4460C"/>
    <w:rsid w:val="00F51B52"/>
    <w:rsid w:val="00F52D08"/>
    <w:rsid w:val="00F66082"/>
    <w:rsid w:val="00F7549B"/>
    <w:rsid w:val="00F87EC6"/>
    <w:rsid w:val="00F90097"/>
    <w:rsid w:val="00F96661"/>
    <w:rsid w:val="00F96C09"/>
    <w:rsid w:val="00FA71AB"/>
    <w:rsid w:val="00FA7B33"/>
    <w:rsid w:val="00FB20A5"/>
    <w:rsid w:val="00FE0122"/>
    <w:rsid w:val="00FE119E"/>
    <w:rsid w:val="00FE1DCE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8547078"/>
  <w15:docId w15:val="{6CE250BA-3C76-4C20-ACB9-A7663087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00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sid w:val="00812008"/>
    <w:pPr>
      <w:framePr w:w="4320" w:h="1440" w:hRule="exact" w:hSpace="141" w:wrap="auto" w:hAnchor="page" w:x="681" w:yAlign="top"/>
    </w:pPr>
    <w:rPr>
      <w:rFonts w:ascii="Roman" w:hAnsi="Roman"/>
      <w:sz w:val="32"/>
    </w:rPr>
  </w:style>
  <w:style w:type="paragraph" w:styleId="Kopfzeile">
    <w:name w:val="header"/>
    <w:basedOn w:val="Standard"/>
    <w:semiHidden/>
    <w:rsid w:val="008120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120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1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A4E9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0D10"/>
    <w:rPr>
      <w:color w:val="808080"/>
    </w:rPr>
  </w:style>
  <w:style w:type="paragraph" w:styleId="Listenabsatz">
    <w:name w:val="List Paragraph"/>
    <w:basedOn w:val="Standard"/>
    <w:uiPriority w:val="34"/>
    <w:qFormat/>
    <w:rsid w:val="00595214"/>
    <w:pPr>
      <w:ind w:left="720"/>
      <w:contextualSpacing/>
    </w:pPr>
  </w:style>
  <w:style w:type="table" w:styleId="Tabellenraster">
    <w:name w:val="Table Grid"/>
    <w:basedOn w:val="NormaleTabelle"/>
    <w:uiPriority w:val="59"/>
    <w:rsid w:val="00BA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achselsried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drachselsried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\AppData\Roaming\Microsoft\Templates\Briefkopf_neu_mit_IBANBIC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1E8CAF4-1BEF-4694-8523-704F1B34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Briefkopf_neu_mit_IBANBIC_2</Template>
  <TotalTime>0</TotalTime>
  <Pages>3</Pages>
  <Words>592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Kurzmittelung</vt:lpstr>
    </vt:vector>
  </TitlesOfParts>
  <Company>Gemeinde Drachselsried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Kurzmittelung</dc:title>
  <dc:creator>mueller</dc:creator>
  <cp:lastModifiedBy>Gemeinde Drachselsried - Johann Geiger</cp:lastModifiedBy>
  <cp:revision>3</cp:revision>
  <cp:lastPrinted>2022-08-26T06:03:00Z</cp:lastPrinted>
  <dcterms:created xsi:type="dcterms:W3CDTF">2022-08-25T07:10:00Z</dcterms:created>
  <dcterms:modified xsi:type="dcterms:W3CDTF">2022-08-26T06:03:00Z</dcterms:modified>
</cp:coreProperties>
</file>